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Ind w:w="-3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9"/>
        <w:gridCol w:w="4478"/>
      </w:tblGrid>
      <w:tr w:rsidR="004E3C74" w:rsidRPr="00A66D6C" w:rsidTr="005F1227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3E7F51" w:rsidRPr="00DC3B72" w:rsidRDefault="003E7F51" w:rsidP="003E7F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7200" cy="56324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F51" w:rsidRPr="00DC3B72" w:rsidRDefault="003E7F51" w:rsidP="003E7F51">
            <w:pPr>
              <w:tabs>
                <w:tab w:val="left" w:pos="3345"/>
                <w:tab w:val="center" w:pos="510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E7F51" w:rsidRPr="00DC3B72" w:rsidRDefault="003E7F51" w:rsidP="003E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b/>
                <w:sz w:val="28"/>
                <w:szCs w:val="28"/>
              </w:rPr>
              <w:t>САВЕЕВСКОГО СЕЛЬСКОГО ПОСЕЛЕНИЯ</w:t>
            </w:r>
          </w:p>
          <w:p w:rsidR="003E7F51" w:rsidRPr="00DC3B72" w:rsidRDefault="003E7F51" w:rsidP="003E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b/>
                <w:sz w:val="28"/>
                <w:szCs w:val="28"/>
              </w:rPr>
              <w:t>РОСЛАВЛЬСКОГО РАЙОНА СМОЛЕНСКОЙ ОБЛАСТИ</w:t>
            </w:r>
          </w:p>
          <w:p w:rsidR="003E7F51" w:rsidRPr="00DC3B72" w:rsidRDefault="003E7F51" w:rsidP="003E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7F51" w:rsidRPr="00DC3B72" w:rsidRDefault="003E7F51" w:rsidP="003E7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E3C74" w:rsidRPr="00827350" w:rsidRDefault="003E7F51" w:rsidP="00C95F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B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5F9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Pr="00DC3B72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="00C95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3B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75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B7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eastAsia="Times New Roman"/>
                <w:b/>
                <w:bCs/>
                <w:color w:val="4A4E3D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E3C74" w:rsidRPr="00A66D6C" w:rsidTr="005F1227">
        <w:trPr>
          <w:tblCellSpacing w:w="15" w:type="dxa"/>
          <w:jc w:val="center"/>
        </w:trPr>
        <w:tc>
          <w:tcPr>
            <w:tcW w:w="4968" w:type="pct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A66D6C" w:rsidRDefault="004E3C74" w:rsidP="003E40F9">
            <w:pPr>
              <w:suppressAutoHyphens w:val="0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C74" w:rsidRPr="003E7F51" w:rsidTr="005F1227">
        <w:trPr>
          <w:tblCellSpacing w:w="15" w:type="dxa"/>
          <w:jc w:val="center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3E7F51" w:rsidRDefault="004E3C74" w:rsidP="00FD68FF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Программы энергосбережения и повышения энергетической эффективности на 201</w:t>
            </w:r>
            <w:r w:rsidR="003C4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FD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 Администрации </w:t>
            </w:r>
            <w:proofErr w:type="spellStart"/>
            <w:r w:rsidR="006920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  <w:tc>
          <w:tcPr>
            <w:tcW w:w="2402" w:type="pct"/>
            <w:vMerge w:val="restar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3E7F51" w:rsidRDefault="004E3C74" w:rsidP="003E40F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E3C74" w:rsidRPr="003E7F51" w:rsidTr="005F1227">
        <w:trPr>
          <w:tblCellSpacing w:w="15" w:type="dxa"/>
          <w:jc w:val="center"/>
        </w:trPr>
        <w:tc>
          <w:tcPr>
            <w:tcW w:w="2550" w:type="pct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3E7F51" w:rsidRDefault="004E3C74" w:rsidP="003E40F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3E7F51" w:rsidRDefault="004E3C74" w:rsidP="003E40F9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C74" w:rsidRPr="003E7F51" w:rsidRDefault="004E3C74" w:rsidP="004E3C74">
      <w:pPr>
        <w:suppressAutoHyphens w:val="0"/>
        <w:ind w:firstLine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7"/>
      </w:tblGrid>
      <w:tr w:rsidR="004E3C74" w:rsidRPr="003E7F51" w:rsidTr="003E40F9">
        <w:trPr>
          <w:tblCellSpacing w:w="15" w:type="dxa"/>
          <w:jc w:val="center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4E3C74" w:rsidRPr="003E7F51" w:rsidRDefault="004E3C74" w:rsidP="003E40F9">
            <w:pPr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соответствии с Федеральным законом от 23.11.2009 №261 -ФЗ "Об энергосбережении и повышении энергетической эффективности и о внесении изменений в отдельные законодательные акты Российской Федераци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6920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4E3C74" w:rsidRPr="003E7F51" w:rsidRDefault="004E3C74" w:rsidP="003E7F51">
            <w:pPr>
              <w:suppressAutoHyphens w:val="0"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 т а </w:t>
            </w: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 л я е т :     </w:t>
            </w:r>
            <w:r w:rsid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1.Утвердить Программу энергосбережения и повышения энергетической эффективности на 201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C95F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г.г.  Администрации </w:t>
            </w:r>
            <w:proofErr w:type="spellStart"/>
            <w:r w:rsidR="006920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  <w:r w:rsid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2. Признать утратившим силу постановление Администрации </w:t>
            </w:r>
            <w:proofErr w:type="spellStart"/>
            <w:r w:rsid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от 16.10.2014г. № 22 </w:t>
            </w:r>
            <w:r w:rsidR="00FD6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45198" w:rsidRP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  <w:r w:rsidR="00B45198" w:rsidRPr="00B4519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муниципальной долгосрочной целевой программы «Энергосбережение и повышение энергетической эффективности на территории </w:t>
            </w:r>
            <w:proofErr w:type="spellStart"/>
            <w:r w:rsidR="00B45198" w:rsidRPr="00B45198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="00B45198" w:rsidRPr="00B451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B45198" w:rsidRPr="00B45198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="00B45198" w:rsidRPr="00B4519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на 2014-2016</w:t>
            </w:r>
            <w:r w:rsidR="00B45198" w:rsidRPr="009A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1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3. 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постановление  подлежит обнародованию путем размещения на официальном сайте Администрации </w:t>
            </w:r>
            <w:proofErr w:type="spellStart"/>
            <w:r w:rsidR="006920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области.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451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Контроль за исполнением постановления оставляю за собой.  </w:t>
            </w:r>
          </w:p>
          <w:p w:rsidR="004E3C74" w:rsidRPr="003E7F51" w:rsidRDefault="00DC3B72" w:rsidP="003E7F51">
            <w:pPr>
              <w:suppressAutoHyphens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  <w:r w:rsidR="004E3C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="006920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Савеевского</w:t>
            </w:r>
            <w:proofErr w:type="spellEnd"/>
            <w:r w:rsidR="004E3C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proofErr w:type="spellStart"/>
            <w:r w:rsidR="004E3C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</w:t>
            </w:r>
            <w:proofErr w:type="spellEnd"/>
            <w:r w:rsidR="004E3C74" w:rsidRP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 </w:t>
            </w:r>
            <w:r w:rsidR="0036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3E7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С.В. Иванов             </w:t>
            </w:r>
          </w:p>
        </w:tc>
      </w:tr>
    </w:tbl>
    <w:p w:rsidR="00F81856" w:rsidRDefault="00F818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873"/>
      </w:tblGrid>
      <w:tr w:rsidR="00362768" w:rsidTr="00362768">
        <w:tc>
          <w:tcPr>
            <w:tcW w:w="5353" w:type="dxa"/>
          </w:tcPr>
          <w:p w:rsidR="00362768" w:rsidRDefault="00362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768" w:rsidRDefault="00362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</w:tcPr>
          <w:p w:rsidR="00362768" w:rsidRDefault="00362768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362768" w:rsidRDefault="00362768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</w:t>
            </w:r>
          </w:p>
          <w:p w:rsidR="00362768" w:rsidRDefault="00362768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2768" w:rsidRDefault="00362768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 С.В./</w:t>
            </w:r>
          </w:p>
          <w:p w:rsidR="00362768" w:rsidRDefault="00362768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62768" w:rsidRDefault="003627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м.п. «__» __________________2016 г.</w:t>
            </w:r>
          </w:p>
          <w:p w:rsidR="00362768" w:rsidRDefault="00362768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768" w:rsidRDefault="00362768" w:rsidP="00362768">
      <w:pPr>
        <w:rPr>
          <w:rFonts w:ascii="Times New Roman" w:hAnsi="Times New Roman" w:cs="Times New Roman"/>
          <w:sz w:val="32"/>
          <w:szCs w:val="32"/>
        </w:rPr>
      </w:pPr>
    </w:p>
    <w:p w:rsidR="00362768" w:rsidRDefault="00362768" w:rsidP="00362768">
      <w:pPr>
        <w:rPr>
          <w:rFonts w:ascii="Times New Roman" w:hAnsi="Times New Roman" w:cs="Times New Roman"/>
          <w:sz w:val="32"/>
          <w:szCs w:val="32"/>
        </w:rPr>
      </w:pPr>
    </w:p>
    <w:p w:rsidR="00362768" w:rsidRDefault="00362768" w:rsidP="00362768">
      <w:pPr>
        <w:rPr>
          <w:rFonts w:ascii="Times New Roman" w:hAnsi="Times New Roman" w:cs="Times New Roman"/>
          <w:sz w:val="32"/>
          <w:szCs w:val="32"/>
        </w:rPr>
      </w:pPr>
    </w:p>
    <w:p w:rsidR="00362768" w:rsidRDefault="00362768" w:rsidP="00362768">
      <w:pPr>
        <w:rPr>
          <w:rFonts w:ascii="Times New Roman" w:hAnsi="Times New Roman" w:cs="Times New Roman"/>
          <w:sz w:val="32"/>
          <w:szCs w:val="32"/>
        </w:rPr>
      </w:pPr>
    </w:p>
    <w:p w:rsidR="00362768" w:rsidRDefault="00362768" w:rsidP="00362768">
      <w:pPr>
        <w:rPr>
          <w:rFonts w:ascii="Times New Roman" w:hAnsi="Times New Roman" w:cs="Times New Roman"/>
          <w:sz w:val="32"/>
          <w:szCs w:val="32"/>
        </w:rPr>
      </w:pPr>
    </w:p>
    <w:p w:rsidR="00362768" w:rsidRDefault="00362768" w:rsidP="003627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энергосбережения и повышения энергетической эффективности на 2016 – 2019 гг.</w:t>
      </w:r>
    </w:p>
    <w:p w:rsidR="00362768" w:rsidRDefault="00362768" w:rsidP="0036276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Савеевского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сельского поселения </w:t>
      </w:r>
    </w:p>
    <w:p w:rsidR="00362768" w:rsidRDefault="00362768" w:rsidP="00362768">
      <w:pPr>
        <w:jc w:val="center"/>
        <w:rPr>
          <w:rFonts w:ascii="Times New Roman" w:eastAsia="Calibri" w:hAnsi="Times New Roman" w:cs="Times New Roman"/>
          <w:b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pStyle w:val="ab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Смоленск 2016 г.</w:t>
      </w:r>
    </w:p>
    <w:p w:rsidR="00362768" w:rsidRDefault="00362768" w:rsidP="00362768">
      <w:pPr>
        <w:rPr>
          <w:rFonts w:ascii="Times New Roman" w:hAnsi="Times New Roman" w:cs="Times New Roman"/>
          <w:bCs/>
          <w:sz w:val="24"/>
          <w:szCs w:val="24"/>
        </w:r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>РАЗДЕЛ 1.</w:t>
      </w:r>
    </w:p>
    <w:p w:rsidR="00362768" w:rsidRDefault="00362768" w:rsidP="00362768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Паспорт программы  энергосбережения и повышения энергетической эффективности</w:t>
      </w:r>
    </w:p>
    <w:p w:rsidR="00362768" w:rsidRDefault="00362768" w:rsidP="00362768"/>
    <w:p w:rsidR="00362768" w:rsidRDefault="00362768" w:rsidP="00362768"/>
    <w:tbl>
      <w:tblPr>
        <w:tblStyle w:val="ad"/>
        <w:tblW w:w="0" w:type="auto"/>
        <w:tblInd w:w="0" w:type="dxa"/>
        <w:tblLayout w:type="fixed"/>
        <w:tblLook w:val="04A0"/>
      </w:tblPr>
      <w:tblGrid>
        <w:gridCol w:w="2376"/>
        <w:gridCol w:w="6911"/>
      </w:tblGrid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ИНН 6725011770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Юридический адрес: 216546, Смоленская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Рославльский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Савеево</w:t>
            </w:r>
            <w:proofErr w:type="spellEnd"/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области: Иванов Сергей Васильевич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Приказ Министерства экономического развития РФ       от 24 октября 2011 г.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Российской Федерации от 27 декабря 2010 г. 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Закон Смоленской области от 30.05.2013 N 47-з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  (принят Смоленской областной Думой 30.05.2013).</w:t>
            </w:r>
          </w:p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эффективности»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Контактное лицо: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ФИО: Иванова Анастасия Николаевна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Должность: Бухгалтер</w:t>
            </w:r>
          </w:p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Телефон: +7 (48134) 5-43-17</w:t>
            </w:r>
          </w:p>
          <w:p w:rsidR="00362768" w:rsidRP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e</w:t>
            </w:r>
            <w:r w:rsidRPr="003627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mail</w:t>
            </w:r>
            <w:r w:rsidRPr="003627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saveevo</w:t>
            </w:r>
            <w:proofErr w:type="spellEnd"/>
            <w:r w:rsidRPr="003627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2013@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yandex</w:t>
            </w:r>
            <w:proofErr w:type="spellEnd"/>
            <w:r w:rsidRPr="00362768"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адрес: 214019, г. Смоленск, Трамвайный проезд, 12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адрес: 214000, г. Смоленск, ул. Маршала Жукова, 21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362768" w:rsidRDefault="0036276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энергетической эффективности экономики казенного учреждения.</w:t>
            </w:r>
          </w:p>
          <w:p w:rsidR="00362768" w:rsidRDefault="0036276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системности и комплексности при проведении мероприятий по энергосбережению.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эффективности.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системы теплоснабжения.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Снижение потерь в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тепло-,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водоснабжения.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условий для привлечения инвестиций в целях внедрения энергосберегающих технологий,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числе и на рынке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услуг.</w:t>
            </w:r>
          </w:p>
          <w:p w:rsidR="00362768" w:rsidRDefault="0036276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основных производственных фондов экономики на базе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2016 – 2019 гг.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Целевые показатели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a"/>
              <w:numPr>
                <w:ilvl w:val="0"/>
                <w:numId w:val="2"/>
              </w:numPr>
              <w:spacing w:line="240" w:lineRule="auto"/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электрической энергии в натуральном выражении (кВт·ч).</w:t>
            </w:r>
          </w:p>
          <w:p w:rsidR="00362768" w:rsidRDefault="00362768">
            <w:pPr>
              <w:pStyle w:val="aa"/>
              <w:numPr>
                <w:ilvl w:val="0"/>
                <w:numId w:val="2"/>
              </w:numPr>
              <w:spacing w:line="240" w:lineRule="auto"/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362768" w:rsidRDefault="00362768">
            <w:pPr>
              <w:pStyle w:val="aa"/>
              <w:numPr>
                <w:ilvl w:val="0"/>
                <w:numId w:val="2"/>
              </w:numPr>
              <w:spacing w:line="240" w:lineRule="auto"/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Оснащенность приборами учета (ПУ) каждого вида потребляемого энергетического ресурса, %.</w:t>
            </w:r>
          </w:p>
          <w:p w:rsidR="00362768" w:rsidRDefault="00362768">
            <w:pPr>
              <w:pStyle w:val="aa"/>
              <w:numPr>
                <w:ilvl w:val="0"/>
                <w:numId w:val="2"/>
              </w:numPr>
              <w:spacing w:line="240" w:lineRule="auto"/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). </w:t>
            </w:r>
          </w:p>
          <w:p w:rsidR="00362768" w:rsidRDefault="00362768">
            <w:pPr>
              <w:pStyle w:val="aa"/>
              <w:numPr>
                <w:ilvl w:val="0"/>
                <w:numId w:val="2"/>
              </w:numPr>
              <w:spacing w:line="240" w:lineRule="auto"/>
              <w:ind w:left="318" w:hanging="283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Удельный расход ЭЭ в системах уличного освещения 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кВт*ч/м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).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320,5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бюджетные средства – 320,5 тыс. руб.;</w:t>
            </w:r>
          </w:p>
          <w:p w:rsidR="00362768" w:rsidRDefault="00362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контракты – 0 тыс. руб. (средства инвестора).</w:t>
            </w:r>
          </w:p>
        </w:tc>
      </w:tr>
      <w:tr w:rsidR="00362768" w:rsidTr="0036276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aps w:val="0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Экономия электрической энергии – 24 396 кВт*ч (155,28 тыс. руб.)</w:t>
            </w:r>
          </w:p>
        </w:tc>
      </w:tr>
    </w:tbl>
    <w:p w:rsidR="00362768" w:rsidRDefault="00362768" w:rsidP="00362768">
      <w:pPr>
        <w:pStyle w:val="ab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62768" w:rsidRDefault="00362768" w:rsidP="00362768">
      <w:pPr>
        <w:rPr>
          <w:rFonts w:asciiTheme="minorHAnsi" w:hAnsiTheme="minorHAnsi" w:cstheme="minorBidi"/>
          <w:sz w:val="22"/>
          <w:szCs w:val="22"/>
        </w:rPr>
      </w:pPr>
    </w:p>
    <w:p w:rsidR="00362768" w:rsidRDefault="00362768" w:rsidP="00362768">
      <w:p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pStyle w:val="1"/>
        <w:tabs>
          <w:tab w:val="clear" w:pos="0"/>
          <w:tab w:val="num" w:pos="66"/>
        </w:tabs>
        <w:ind w:left="0" w:firstLine="0"/>
      </w:pPr>
      <w:r>
        <w:lastRenderedPageBreak/>
        <w:tab/>
        <w:t>РАЗДЕЛ 2.</w:t>
      </w:r>
    </w:p>
    <w:p w:rsidR="00362768" w:rsidRDefault="00362768" w:rsidP="00362768">
      <w:pPr>
        <w:pStyle w:val="1"/>
        <w:tabs>
          <w:tab w:val="clear" w:pos="0"/>
          <w:tab w:val="num" w:pos="66"/>
        </w:tabs>
        <w:ind w:left="0" w:firstLine="0"/>
        <w:jc w:val="center"/>
      </w:pPr>
      <w:r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362768" w:rsidRDefault="00362768" w:rsidP="00362768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СВЕДЕНИЯ О ЦЕЛЕВЫХ ПОКАЗАТЕЛЯХ ПРОГРАММЫ ЭНЕРГОСБЕРЕЖЕНИЯ И ПОВЫШЕНИЯ ЭНЕРГЕТИЧЕСКОЙ ЭФФЕКТИВНОСТИ</w:t>
      </w:r>
    </w:p>
    <w:tbl>
      <w:tblPr>
        <w:tblStyle w:val="ad"/>
        <w:tblW w:w="0" w:type="auto"/>
        <w:jc w:val="center"/>
        <w:tblInd w:w="0" w:type="dxa"/>
        <w:tblLayout w:type="fixed"/>
        <w:tblLook w:val="04A0"/>
      </w:tblPr>
      <w:tblGrid>
        <w:gridCol w:w="649"/>
        <w:gridCol w:w="2977"/>
        <w:gridCol w:w="1134"/>
        <w:gridCol w:w="992"/>
        <w:gridCol w:w="1418"/>
        <w:gridCol w:w="1275"/>
        <w:gridCol w:w="1327"/>
      </w:tblGrid>
      <w:tr w:rsidR="00362768" w:rsidTr="00362768">
        <w:trPr>
          <w:cantSplit/>
          <w:jc w:val="center"/>
        </w:trPr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5761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79,99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77,49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75,46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t>54,70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т.у.т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</w:t>
            </w:r>
          </w:p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н.д.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кВт*ч/м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3,02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cantSplit/>
          <w:jc w:val="center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62768" w:rsidRDefault="00362768" w:rsidP="00362768">
      <w:pPr>
        <w:jc w:val="center"/>
        <w:rPr>
          <w:rFonts w:asciiTheme="minorHAnsi" w:hAnsiTheme="minorHAnsi" w:cstheme="minorBidi"/>
          <w:sz w:val="22"/>
          <w:szCs w:val="22"/>
          <w:lang w:eastAsia="ru-RU"/>
        </w:rPr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jc w:val="center"/>
      </w:pPr>
    </w:p>
    <w:p w:rsidR="00362768" w:rsidRDefault="00362768" w:rsidP="00362768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d"/>
        <w:tblW w:w="0" w:type="auto"/>
        <w:jc w:val="center"/>
        <w:tblInd w:w="93" w:type="dxa"/>
        <w:tblLayout w:type="fixed"/>
        <w:tblLook w:val="04A0"/>
      </w:tblPr>
      <w:tblGrid>
        <w:gridCol w:w="626"/>
        <w:gridCol w:w="2268"/>
        <w:gridCol w:w="908"/>
        <w:gridCol w:w="1429"/>
        <w:gridCol w:w="1331"/>
        <w:gridCol w:w="1331"/>
        <w:gridCol w:w="1331"/>
        <w:gridCol w:w="1382"/>
      </w:tblGrid>
      <w:tr w:rsidR="00362768" w:rsidTr="00362768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2015 (базового) года</w:t>
            </w:r>
          </w:p>
        </w:tc>
        <w:tc>
          <w:tcPr>
            <w:tcW w:w="53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36942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23636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твердого печного топлива 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2768" w:rsidTr="00362768">
        <w:trPr>
          <w:trHeight w:val="847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trHeight w:val="738"/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2768" w:rsidRDefault="00362768" w:rsidP="00362768">
      <w:pPr>
        <w:sectPr w:rsidR="00362768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62768" w:rsidRDefault="00362768" w:rsidP="00362768">
      <w:pPr>
        <w:pStyle w:val="1"/>
        <w:tabs>
          <w:tab w:val="clear" w:pos="0"/>
        </w:tabs>
        <w:ind w:left="0" w:firstLine="0"/>
      </w:pPr>
      <w:r>
        <w:lastRenderedPageBreak/>
        <w:t xml:space="preserve">РАЗДЕЛ 3. </w:t>
      </w:r>
      <w:bookmarkStart w:id="0" w:name="__RefHeading___Toc334028556"/>
    </w:p>
    <w:bookmarkEnd w:id="0"/>
    <w:p w:rsidR="00362768" w:rsidRDefault="00362768" w:rsidP="003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362768" w:rsidRDefault="00362768" w:rsidP="003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ПЕРИОД.</w:t>
      </w:r>
    </w:p>
    <w:p w:rsidR="00362768" w:rsidRDefault="00362768" w:rsidP="00362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организации</w:t>
      </w:r>
    </w:p>
    <w:tbl>
      <w:tblPr>
        <w:tblStyle w:val="ad"/>
        <w:tblW w:w="9527" w:type="dxa"/>
        <w:jc w:val="center"/>
        <w:tblInd w:w="0" w:type="dxa"/>
        <w:tblLook w:val="04A0"/>
      </w:tblPr>
      <w:tblGrid>
        <w:gridCol w:w="2540"/>
        <w:gridCol w:w="6987"/>
      </w:tblGrid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b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</w:tr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энергетического обследования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проводилось</w:t>
            </w:r>
          </w:p>
        </w:tc>
      </w:tr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62768" w:rsidTr="00362768">
        <w:trPr>
          <w:jc w:val="center"/>
        </w:trPr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энергия – 76 720 руб., 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– 158 042 руб.,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 – 94 198руб.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328 960 руб.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2 артезианских скважины с 2-мя водонапорными башнями, которые находятся в собственности гарантирующей компании МУП «Радуга»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Централизованные котельные, тепловые электростанции и многоквартирные дома на территории сельского поселения – отсутствуют.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362768" w:rsidRDefault="00362768" w:rsidP="00362768">
      <w:pPr>
        <w:pStyle w:val="aa"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Здание Администрации</w:t>
      </w:r>
    </w:p>
    <w:tbl>
      <w:tblPr>
        <w:tblStyle w:val="ad"/>
        <w:tblW w:w="0" w:type="auto"/>
        <w:jc w:val="center"/>
        <w:tblInd w:w="567" w:type="dxa"/>
        <w:tblLook w:val="04A0"/>
      </w:tblPr>
      <w:tblGrid>
        <w:gridCol w:w="4700"/>
        <w:gridCol w:w="4019"/>
      </w:tblGrid>
      <w:tr w:rsidR="00362768" w:rsidTr="00362768">
        <w:trPr>
          <w:jc w:val="center"/>
        </w:trPr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1980</w:t>
            </w:r>
          </w:p>
        </w:tc>
      </w:tr>
      <w:tr w:rsidR="00362768" w:rsidTr="00362768">
        <w:trPr>
          <w:jc w:val="center"/>
        </w:trPr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 здания,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</w:t>
            </w:r>
          </w:p>
        </w:tc>
      </w:tr>
      <w:tr w:rsidR="00362768" w:rsidTr="00362768">
        <w:trPr>
          <w:jc w:val="center"/>
        </w:trPr>
        <w:tc>
          <w:tcPr>
            <w:tcW w:w="4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Отапливаемая площадь здания,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Администрации на основе договора о безвозмездном пользовании расположен фельдшерско-акушерский пункт, занимающий площадь 100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электроснабжения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здания Администрации является </w:t>
      </w:r>
      <w:r>
        <w:rPr>
          <w:rFonts w:ascii="Times New Roman" w:hAnsi="Times New Roman"/>
          <w:sz w:val="28"/>
          <w:szCs w:val="28"/>
        </w:rPr>
        <w:t>филиал «</w:t>
      </w:r>
      <w:proofErr w:type="spellStart"/>
      <w:r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Имеется 1 ввод электрической энергии с установленным прибором учета электрической энергии – ЦЭ6807П (класс точности – 1,0; год очередной поверки – 2007 г.).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внутреннего освещения помещений Администрации включает 18 компактных люминесцентных ламп мощностью по 20 Вт и 9 люминесцентных светильников мощностью по 72 Вт. В помещениях ФАП установлены 4 лампы накаливания мощностью по 60 Вт.</w:t>
      </w: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отопления</w:t>
      </w:r>
    </w:p>
    <w:p w:rsidR="00362768" w:rsidRDefault="00362768" w:rsidP="0036276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Отопление помещений Администрации осуществляется от 6-ти бетонных электрических обогревателей, отопление помещений ФАП от  12-ти бетонных электрических обогревателей. </w:t>
      </w: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>
        <w:rPr>
          <w:rFonts w:ascii="Times New Roman" w:hAnsi="Times New Roman"/>
          <w:sz w:val="28"/>
          <w:szCs w:val="28"/>
        </w:rPr>
        <w:t>филиал «</w:t>
      </w:r>
      <w:proofErr w:type="spellStart"/>
      <w:r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Администрации установлены 2 деревянных оконных блока площадью 2,08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7 оконных блоков из ПВХ профиля площадью 9,8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 4 деревянных входных двери площадью 6,4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1 металлическая входная дверь площадью 1,8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ФАП установлены 4 деревянных оконных блока площадью 4,16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также 4 деревянных входных двери площадью 6,4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в здании Администрации – отсутствуют.</w:t>
      </w: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</w:t>
      </w:r>
      <w:r>
        <w:rPr>
          <w:rFonts w:ascii="Times New Roman" w:hAnsi="Times New Roman"/>
          <w:sz w:val="28"/>
          <w:szCs w:val="28"/>
        </w:rPr>
        <w:t>филиал «</w:t>
      </w:r>
      <w:proofErr w:type="spellStart"/>
      <w:r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балансе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находятся 6 светильников (ЖКУ-250), оборудованные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лампами мощностью по 250 Вт и 29 светильников (ЖКУ-150), оборудованные натриевыми лампами мощностью по 150 Вт. Установлены фотореле в количестве 16-ти штук.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потребления электроэнергии уличным освещением ведется по приборам учета электрической энергии в количестве 16-ти штук: ЦЭ6807П – 16 шт. Все установленные приборы учета электрической энергии имеют наивысший класс точности (1,0) и проходят поверку в срок.</w:t>
      </w: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Поставщиком моторного топлива является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РН-Карт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Смоленск».</w:t>
      </w:r>
    </w:p>
    <w:p w:rsidR="00362768" w:rsidRDefault="00362768" w:rsidP="00362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1 единица автотранспорта         марки: ВАЗ 21074 (легковой автомобиль). 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30 000 к</w:t>
      </w:r>
      <w:bookmarkStart w:id="1" w:name="__RefHeading___Toc334028560"/>
      <w:bookmarkEnd w:id="1"/>
      <w:r>
        <w:rPr>
          <w:rFonts w:ascii="Times New Roman" w:hAnsi="Times New Roman" w:cs="Times New Roman"/>
          <w:sz w:val="28"/>
          <w:szCs w:val="28"/>
        </w:rPr>
        <w:t>м.</w:t>
      </w:r>
    </w:p>
    <w:p w:rsidR="00362768" w:rsidRDefault="00362768" w:rsidP="003627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768" w:rsidRDefault="00362768" w:rsidP="0036276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768" w:rsidRDefault="00362768" w:rsidP="0036276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Оснащенность вводов энергетических ресурсов приборами учета</w:t>
      </w:r>
    </w:p>
    <w:tbl>
      <w:tblPr>
        <w:tblW w:w="9435" w:type="dxa"/>
        <w:tblInd w:w="-75" w:type="dxa"/>
        <w:tblLayout w:type="fixed"/>
        <w:tblLook w:val="04A0"/>
      </w:tblPr>
      <w:tblGrid>
        <w:gridCol w:w="2540"/>
        <w:gridCol w:w="2269"/>
        <w:gridCol w:w="2434"/>
        <w:gridCol w:w="2192"/>
      </w:tblGrid>
      <w:tr w:rsidR="00362768" w:rsidTr="00362768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Вводов, оснащенных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приборами учета, %</w:t>
            </w:r>
          </w:p>
        </w:tc>
      </w:tr>
      <w:tr w:rsidR="00362768" w:rsidTr="00362768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768" w:rsidTr="00362768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768" w:rsidRDefault="003627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62768" w:rsidRDefault="00362768" w:rsidP="003627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62768" w:rsidRDefault="00362768" w:rsidP="003627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62768" w:rsidRDefault="00362768" w:rsidP="003627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362768" w:rsidRDefault="00362768" w:rsidP="003627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фактических затрат на энергетические ресурсы</w:t>
      </w:r>
    </w:p>
    <w:p w:rsidR="00362768" w:rsidRDefault="00362768" w:rsidP="0036276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2015 (базовом) году</w:t>
      </w:r>
    </w:p>
    <w:tbl>
      <w:tblPr>
        <w:tblStyle w:val="ad"/>
        <w:tblW w:w="10770" w:type="dxa"/>
        <w:jc w:val="center"/>
        <w:tblInd w:w="0" w:type="dxa"/>
        <w:tblLayout w:type="fixed"/>
        <w:tblLook w:val="04A0"/>
      </w:tblPr>
      <w:tblGrid>
        <w:gridCol w:w="675"/>
        <w:gridCol w:w="2378"/>
        <w:gridCol w:w="1133"/>
        <w:gridCol w:w="1700"/>
        <w:gridCol w:w="1558"/>
        <w:gridCol w:w="1663"/>
        <w:gridCol w:w="1663"/>
      </w:tblGrid>
      <w:tr w:rsidR="00362768" w:rsidTr="00362768">
        <w:trPr>
          <w:trHeight w:val="769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условном топливе,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т.у.т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Средне-взвешенныйтариф</w:t>
            </w:r>
            <w:proofErr w:type="spellEnd"/>
          </w:p>
        </w:tc>
      </w:tr>
      <w:tr w:rsidR="00362768" w:rsidTr="00362768">
        <w:trPr>
          <w:trHeight w:val="34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12 158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76 720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6,31</w:t>
            </w:r>
          </w:p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362768" w:rsidTr="00362768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24 784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158 042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8,54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6,38</w:t>
            </w:r>
          </w:p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(руб./кВт*ч)</w:t>
            </w:r>
          </w:p>
        </w:tc>
      </w:tr>
      <w:tr w:rsidR="00362768" w:rsidTr="00362768">
        <w:trPr>
          <w:trHeight w:val="70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Моторное топливо (АИ-92)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94 198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31,97 (руб./л)</w:t>
            </w:r>
          </w:p>
        </w:tc>
      </w:tr>
      <w:tr w:rsidR="00362768" w:rsidTr="00362768">
        <w:trPr>
          <w:trHeight w:val="116"/>
          <w:jc w:val="center"/>
        </w:trPr>
        <w:tc>
          <w:tcPr>
            <w:tcW w:w="5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328 960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16,02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bCs/>
          <w:sz w:val="28"/>
          <w:szCs w:val="28"/>
        </w:r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_RefHeading___Toc334028561"/>
      <w:bookmarkEnd w:id="2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0355" cy="367855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2768" w:rsidRDefault="00362768" w:rsidP="003627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2015 г.</w:t>
      </w:r>
    </w:p>
    <w:p w:rsidR="00362768" w:rsidRDefault="00362768" w:rsidP="003627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Предлагаемые мероприятия в области энергосбережения:</w:t>
      </w:r>
    </w:p>
    <w:p w:rsidR="00362768" w:rsidRDefault="00362768" w:rsidP="00362768">
      <w:pPr>
        <w:pStyle w:val="aa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</w:t>
      </w:r>
      <w:proofErr w:type="spellStart"/>
      <w:r>
        <w:rPr>
          <w:bCs/>
          <w:sz w:val="28"/>
          <w:szCs w:val="28"/>
        </w:rPr>
        <w:t>дугоразрядных</w:t>
      </w:r>
      <w:proofErr w:type="spellEnd"/>
      <w:r>
        <w:rPr>
          <w:bCs/>
          <w:sz w:val="28"/>
          <w:szCs w:val="28"/>
        </w:rPr>
        <w:t xml:space="preserve"> и натриевых ламп уличного освещения (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40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250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 xml:space="preserve"> – 6 шт.,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40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150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 xml:space="preserve"> – 29 шт.) на светодиодные лампы (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40 80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 xml:space="preserve">). </w:t>
      </w:r>
    </w:p>
    <w:p w:rsidR="00362768" w:rsidRDefault="00362768" w:rsidP="00362768">
      <w:pPr>
        <w:pStyle w:val="aa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люминесцентных светильников внутреннего освещения (</w:t>
      </w:r>
      <w:r>
        <w:rPr>
          <w:bCs/>
          <w:sz w:val="28"/>
          <w:szCs w:val="28"/>
          <w:lang w:val="en-US"/>
        </w:rPr>
        <w:t>G</w:t>
      </w:r>
      <w:r>
        <w:rPr>
          <w:bCs/>
          <w:sz w:val="28"/>
          <w:szCs w:val="28"/>
        </w:rPr>
        <w:t>13 72</w:t>
      </w:r>
      <w:r>
        <w:rPr>
          <w:bCs/>
          <w:sz w:val="28"/>
          <w:szCs w:val="28"/>
          <w:lang w:val="en-US"/>
        </w:rPr>
        <w:t>W</w:t>
      </w:r>
      <w:r w:rsidRPr="003627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9 шт.) на светодиодные светильники (</w:t>
      </w:r>
      <w:r>
        <w:rPr>
          <w:bCs/>
          <w:sz w:val="28"/>
          <w:szCs w:val="28"/>
          <w:lang w:val="en-US"/>
        </w:rPr>
        <w:t>T</w:t>
      </w:r>
      <w:r>
        <w:rPr>
          <w:bCs/>
          <w:sz w:val="28"/>
          <w:szCs w:val="28"/>
        </w:rPr>
        <w:t>8 26</w:t>
      </w:r>
      <w:r>
        <w:rPr>
          <w:bCs/>
          <w:sz w:val="28"/>
          <w:szCs w:val="28"/>
          <w:lang w:val="en-US"/>
        </w:rPr>
        <w:t>W</w:t>
      </w:r>
      <w:r>
        <w:rPr>
          <w:bCs/>
          <w:sz w:val="28"/>
          <w:szCs w:val="28"/>
        </w:rPr>
        <w:t>) в помещениях Администрации.</w:t>
      </w:r>
    </w:p>
    <w:p w:rsidR="00362768" w:rsidRDefault="00362768" w:rsidP="00362768">
      <w:pPr>
        <w:pStyle w:val="aa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деревянных оконных блоков на оконные блоки из ПВХ профиля (2 шт. – 2,08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) в помещениях Администрации.</w:t>
      </w:r>
    </w:p>
    <w:p w:rsidR="00362768" w:rsidRDefault="00362768" w:rsidP="00362768">
      <w:pPr>
        <w:pStyle w:val="aa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Ремонт и утепление кровли здания Администрации.</w:t>
      </w:r>
    </w:p>
    <w:p w:rsidR="00362768" w:rsidRDefault="00362768" w:rsidP="00362768">
      <w:pPr>
        <w:pStyle w:val="1"/>
        <w:tabs>
          <w:tab w:val="clear" w:pos="0"/>
        </w:tabs>
        <w:spacing w:before="0"/>
        <w:ind w:left="0" w:firstLine="567"/>
        <w:jc w:val="both"/>
        <w:rPr>
          <w:rFonts w:eastAsiaTheme="minorEastAsia"/>
          <w:b w:val="0"/>
          <w:caps w:val="0"/>
          <w:kern w:val="0"/>
          <w:lang w:eastAsia="ru-RU"/>
        </w:rPr>
      </w:pPr>
    </w:p>
    <w:p w:rsidR="00362768" w:rsidRDefault="00362768" w:rsidP="00362768">
      <w:pPr>
        <w:pStyle w:val="1"/>
        <w:tabs>
          <w:tab w:val="clear" w:pos="0"/>
        </w:tabs>
        <w:spacing w:before="0"/>
        <w:ind w:left="0" w:firstLine="567"/>
        <w:jc w:val="both"/>
        <w:rPr>
          <w:b w:val="0"/>
        </w:rPr>
      </w:pPr>
      <w:r>
        <w:rPr>
          <w:rFonts w:eastAsiaTheme="minorEastAsia"/>
          <w:b w:val="0"/>
          <w:caps w:val="0"/>
          <w:kern w:val="0"/>
          <w:lang w:eastAsia="ru-RU"/>
        </w:rPr>
        <w:t>Мероприятия по сокращению потребления моторного топлива в рамках программы энергосбережения и повышения энергетической эффективности проводить нецелесообразно в связи с высоким сроком окупаемости.</w:t>
      </w:r>
    </w:p>
    <w:p w:rsidR="00362768" w:rsidRDefault="00362768" w:rsidP="00362768"/>
    <w:p w:rsidR="00362768" w:rsidRDefault="00362768" w:rsidP="00362768">
      <w:pPr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pStyle w:val="1"/>
        <w:tabs>
          <w:tab w:val="clear" w:pos="0"/>
        </w:tabs>
        <w:ind w:left="0" w:firstLine="0"/>
      </w:pPr>
      <w:r>
        <w:lastRenderedPageBreak/>
        <w:t xml:space="preserve">РАЗДЕЛ 4. </w:t>
      </w:r>
    </w:p>
    <w:p w:rsidR="00362768" w:rsidRDefault="00362768" w:rsidP="00362768">
      <w:pPr>
        <w:pStyle w:val="1"/>
        <w:tabs>
          <w:tab w:val="clear" w:pos="0"/>
        </w:tabs>
        <w:ind w:left="0" w:firstLine="0"/>
        <w:jc w:val="center"/>
      </w:pPr>
      <w:r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362768" w:rsidRDefault="00362768" w:rsidP="00362768"/>
    <w:p w:rsidR="00362768" w:rsidRDefault="00362768" w:rsidP="00362768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4.1.2. Энергосбережение и повышение энергетической эффективности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  <w:sectPr w:rsidR="00362768">
          <w:pgSz w:w="11906" w:h="16838"/>
          <w:pgMar w:top="1134" w:right="1134" w:bottom="1134" w:left="1701" w:header="709" w:footer="709" w:gutter="0"/>
          <w:cols w:space="720"/>
        </w:sectPr>
      </w:pPr>
    </w:p>
    <w:p w:rsidR="00362768" w:rsidRDefault="00362768" w:rsidP="00362768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4.2. Мероприятия по каждому виду потребляемых энергоресурсов</w:t>
      </w:r>
    </w:p>
    <w:p w:rsidR="00362768" w:rsidRDefault="00362768" w:rsidP="00362768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Мероприятия в системе электроснабжения</w:t>
      </w:r>
    </w:p>
    <w:tbl>
      <w:tblPr>
        <w:tblStyle w:val="ad"/>
        <w:tblW w:w="0" w:type="auto"/>
        <w:tblInd w:w="0" w:type="dxa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362768" w:rsidTr="0036276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362768" w:rsidTr="0036276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62768" w:rsidTr="00362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дугоразрядных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натриевых ламп уличного освещения на светодиодные лампы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60,37</w:t>
            </w:r>
          </w:p>
        </w:tc>
      </w:tr>
      <w:tr w:rsidR="00362768" w:rsidTr="00362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люминесцентных светильников внутреннего освещения на светодиодные светильники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</w:tbl>
    <w:p w:rsidR="00362768" w:rsidRDefault="00362768" w:rsidP="0036276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62768" w:rsidRDefault="00362768" w:rsidP="0036276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Причина перехода на энергосберегающую светодиодную продукцию. Качество светодиодного освещения обеспечивает необходимую светоотдачу и благоприятный спектр излучения, превосходит по сроку службы лампу накаливания в 8-25 раз и снижают энергопотребление при равной мощности лучей в 6-10 раз, имеют высокую защиту от перепадов напряжения.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освещения. Замена всех ламп накаливания в осветительной системе по мере их выработки позволит экономить расходы на электроэнергию в большем проценте.</w:t>
      </w:r>
    </w:p>
    <w:p w:rsidR="00362768" w:rsidRDefault="00362768" w:rsidP="00362768">
      <w:pPr>
        <w:pStyle w:val="a5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эффективностью. Преимуществом этих ламп может быть и их длительный срок эксплуатации. Галогенные и люминесцентные лампы могут работать до 25000 часов, тогда как LED поднимают этот показатель на качественно новый уровень - до 100 000 часов. Срок службы ламп обладает существенным </w:t>
      </w:r>
      <w:r>
        <w:rPr>
          <w:color w:val="000000"/>
          <w:sz w:val="28"/>
          <w:szCs w:val="28"/>
        </w:rPr>
        <w:lastRenderedPageBreak/>
        <w:t>преимуществом для производителей, поскольку любые работы по обслуживанию, эксплуатации, замене креплений требуют денег. И, фактически, светодиодные лампы требуют одной трети энергии традиционных методов освещения.</w:t>
      </w:r>
    </w:p>
    <w:p w:rsidR="00362768" w:rsidRDefault="00362768" w:rsidP="00362768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62768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62768" w:rsidRDefault="00362768" w:rsidP="00362768">
      <w:pPr>
        <w:pStyle w:val="2"/>
        <w:ind w:firstLine="113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Мероприятия в системе отопления</w:t>
      </w:r>
    </w:p>
    <w:tbl>
      <w:tblPr>
        <w:tblStyle w:val="ad"/>
        <w:tblW w:w="0" w:type="auto"/>
        <w:tblInd w:w="0" w:type="dxa"/>
        <w:tblLayout w:type="fixed"/>
        <w:tblLook w:val="04A0"/>
      </w:tblPr>
      <w:tblGrid>
        <w:gridCol w:w="675"/>
        <w:gridCol w:w="4111"/>
        <w:gridCol w:w="915"/>
        <w:gridCol w:w="2204"/>
        <w:gridCol w:w="2268"/>
        <w:gridCol w:w="1984"/>
        <w:gridCol w:w="2126"/>
      </w:tblGrid>
      <w:tr w:rsidR="00362768" w:rsidTr="0036276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1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эффект от мероприятия</w:t>
            </w:r>
          </w:p>
        </w:tc>
      </w:tr>
      <w:tr w:rsidR="00362768" w:rsidTr="00362768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натуральном выражении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стоимостном выражении, </w:t>
            </w:r>
          </w:p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362768" w:rsidTr="00362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деревянных оконных блоков на оконные блоки из ПВХ профиля в помещениях Администрации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362768" w:rsidTr="0036276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утепление кровли в здании Администрации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</w:tr>
    </w:tbl>
    <w:p w:rsidR="00362768" w:rsidRDefault="00362768" w:rsidP="00362768">
      <w:pPr>
        <w:pStyle w:val="a5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Теплопотери</w:t>
      </w:r>
      <w:proofErr w:type="spellEnd"/>
      <w:r>
        <w:rPr>
          <w:sz w:val="28"/>
          <w:szCs w:val="28"/>
        </w:rPr>
        <w:t xml:space="preserve"> через окно происходят по нескольким каналам: потери через оконный блок и переплеты (мостики холода, </w:t>
      </w:r>
      <w:proofErr w:type="spellStart"/>
      <w:r>
        <w:rPr>
          <w:sz w:val="28"/>
          <w:szCs w:val="28"/>
        </w:rPr>
        <w:t>неплотности</w:t>
      </w:r>
      <w:proofErr w:type="spellEnd"/>
      <w:r>
        <w:rPr>
          <w:sz w:val="28"/>
          <w:szCs w:val="28"/>
        </w:rPr>
        <w:t xml:space="preserve">), потери за счет теплопроводности воздуха и конвективных потоков между стеклами, а также </w:t>
      </w:r>
      <w:proofErr w:type="spellStart"/>
      <w:r>
        <w:rPr>
          <w:sz w:val="28"/>
          <w:szCs w:val="28"/>
        </w:rPr>
        <w:t>теплопотери</w:t>
      </w:r>
      <w:proofErr w:type="spellEnd"/>
      <w:r>
        <w:rPr>
          <w:sz w:val="28"/>
          <w:szCs w:val="28"/>
        </w:rPr>
        <w:t xml:space="preserve"> посредством теплового излучения. Очевидно что, величина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через оконный блок напрямую зависит от конструкции окна, используемых материалов, качества изготовления. В реальности она составляет около 10 % от общих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из помещения. Остальные два канала </w:t>
      </w:r>
      <w:proofErr w:type="spellStart"/>
      <w:r>
        <w:rPr>
          <w:sz w:val="28"/>
          <w:szCs w:val="28"/>
        </w:rPr>
        <w:t>теплопотерь</w:t>
      </w:r>
      <w:proofErr w:type="spellEnd"/>
      <w:r>
        <w:rPr>
          <w:sz w:val="28"/>
          <w:szCs w:val="28"/>
        </w:rPr>
        <w:t xml:space="preserve"> - это потери непосредственно через остекление. Решение проблемы энергосбережения возможно только с помощью применения системных, комплексных мер. Особую роль в энергобалансе здания играют </w:t>
      </w:r>
      <w:proofErr w:type="spellStart"/>
      <w:r>
        <w:rPr>
          <w:sz w:val="28"/>
          <w:szCs w:val="28"/>
        </w:rPr>
        <w:t>светопрозрачные</w:t>
      </w:r>
      <w:proofErr w:type="spellEnd"/>
      <w:r>
        <w:rPr>
          <w:sz w:val="28"/>
          <w:szCs w:val="28"/>
        </w:rPr>
        <w:t xml:space="preserve"> конструкции. Уровень их теплозащиты уступает теплозащите стеновых конструкций зданий. В настоящее время в России применяются следующие основные способы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светопрозрачных</w:t>
      </w:r>
      <w:proofErr w:type="spellEnd"/>
      <w:r>
        <w:rPr>
          <w:sz w:val="28"/>
          <w:szCs w:val="28"/>
        </w:rPr>
        <w:t xml:space="preserve"> конструкций:</w:t>
      </w:r>
    </w:p>
    <w:p w:rsidR="00362768" w:rsidRDefault="00362768" w:rsidP="003627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переход от одно- и двухкамерных стеклопакетов к трех- и более камерным;</w:t>
      </w:r>
    </w:p>
    <w:p w:rsidR="00362768" w:rsidRDefault="00362768" w:rsidP="003627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</w:t>
      </w:r>
      <w:proofErr w:type="spellStart"/>
      <w:r>
        <w:rPr>
          <w:sz w:val="28"/>
          <w:szCs w:val="28"/>
        </w:rPr>
        <w:t>термопленки</w:t>
      </w:r>
      <w:proofErr w:type="spellEnd"/>
      <w:r>
        <w:rPr>
          <w:sz w:val="28"/>
          <w:szCs w:val="28"/>
        </w:rPr>
        <w:t xml:space="preserve"> (теплопоглощающее остекление);</w:t>
      </w:r>
    </w:p>
    <w:p w:rsidR="00362768" w:rsidRDefault="00362768" w:rsidP="003627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наполнения стеклопакетов инертными газами.</w:t>
      </w:r>
    </w:p>
    <w:p w:rsidR="00362768" w:rsidRDefault="00362768" w:rsidP="00362768">
      <w:pPr>
        <w:shd w:val="clear" w:color="auto" w:fill="FFFFFF"/>
        <w:spacing w:after="120" w:line="36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замене деревянных блоков на пластиковые с двухкамерным стеклопакетом окупаемость мероприятия составит в среднем не более двадцати пяти лет.</w:t>
      </w:r>
    </w:p>
    <w:p w:rsidR="00362768" w:rsidRDefault="00362768" w:rsidP="00362768">
      <w:pPr>
        <w:shd w:val="clear" w:color="auto" w:fill="FFFFFF"/>
        <w:spacing w:after="120" w:line="367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2768" w:rsidRDefault="00362768" w:rsidP="00362768">
      <w:pPr>
        <w:pStyle w:val="a5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Традиционная кровля состоит из несущей плиты или деревянных досок, на которую по слою </w:t>
      </w:r>
      <w:proofErr w:type="spellStart"/>
      <w:r>
        <w:rPr>
          <w:sz w:val="28"/>
          <w:szCs w:val="28"/>
        </w:rPr>
        <w:t>пароизоляции</w:t>
      </w:r>
      <w:proofErr w:type="spellEnd"/>
      <w:r>
        <w:rPr>
          <w:sz w:val="28"/>
          <w:szCs w:val="28"/>
        </w:rPr>
        <w:t xml:space="preserve"> уложен теплоизоляционный материал, защищенный от воздействия атмосферных осадков гидроизоляционным ковром. Это один из самых распространенных и недорогих способов устройства крыши в зданиях.</w:t>
      </w:r>
    </w:p>
    <w:p w:rsidR="00362768" w:rsidRDefault="00362768" w:rsidP="00362768">
      <w:pPr>
        <w:shd w:val="clear" w:color="auto" w:fill="FFFFFF"/>
        <w:spacing w:after="120" w:line="36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представляет энергосберегающий эффект от замены изношенной и несовременной тепловой изоляции с низким коэффициентом сопротивления теплопередаче на новую, имеющую более высокие показатели теплозащиты. Помимо этого за сч</w:t>
      </w:r>
      <w:r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замены изоляции значительно 51  снижаются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</w:t>
      </w:r>
      <w:r>
        <w:rPr>
          <w:rFonts w:ascii="Times New Roman" w:hAnsi="Cambria Math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 нагрева инфильтрационного воздуха, которые являются следствием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неплотностей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Эти потери зачастую составляют более 25% от общих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помещения. Данное мероприятие может быть использовано для снижения тепловых потерь через наружные ограждения и для устранения выпадения конденсата на внутренней поверхности наружных ограждений. Может привести к изменению класса энергетической эффективности здания. Для соблюдения нормативных значений сопротивления теплопередаче применяются многослойные ограждающие конструкции с утеплителем. В качестве утеплителя могут применяться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пенополистирол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материалы, обладающие низкой теплопроводностью.</w:t>
      </w:r>
    </w:p>
    <w:p w:rsidR="00362768" w:rsidRDefault="00362768" w:rsidP="00362768">
      <w:pPr>
        <w:rPr>
          <w:rFonts w:ascii="Times New Roman" w:eastAsia="Times New Roman" w:hAnsi="Times New Roman" w:cs="Times New Roman"/>
          <w:sz w:val="28"/>
          <w:szCs w:val="28"/>
        </w:rPr>
        <w:sectPr w:rsidR="00362768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62768" w:rsidRDefault="00362768" w:rsidP="00362768">
      <w:pPr>
        <w:ind w:firstLine="1134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tbl>
      <w:tblPr>
        <w:tblStyle w:val="ad"/>
        <w:tblW w:w="14715" w:type="dxa"/>
        <w:jc w:val="center"/>
        <w:tblInd w:w="0" w:type="dxa"/>
        <w:tblLayout w:type="fixed"/>
        <w:tblLook w:val="04A0"/>
      </w:tblPr>
      <w:tblGrid>
        <w:gridCol w:w="675"/>
        <w:gridCol w:w="4207"/>
        <w:gridCol w:w="2033"/>
        <w:gridCol w:w="2128"/>
        <w:gridCol w:w="2552"/>
        <w:gridCol w:w="3120"/>
      </w:tblGrid>
      <w:tr w:rsidR="00362768" w:rsidTr="00362768">
        <w:trPr>
          <w:trHeight w:val="966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  <w:tr w:rsidR="00362768" w:rsidTr="00362768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  <w:sectPr w:rsidR="00362768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62768" w:rsidRDefault="00362768" w:rsidP="00362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362768" w:rsidRDefault="00362768" w:rsidP="0036276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Style w:val="ad"/>
        <w:tblW w:w="16065" w:type="dxa"/>
        <w:jc w:val="center"/>
        <w:tblInd w:w="695" w:type="dxa"/>
        <w:tblLayout w:type="fixed"/>
        <w:tblLook w:val="04A0"/>
      </w:tblPr>
      <w:tblGrid>
        <w:gridCol w:w="534"/>
        <w:gridCol w:w="2409"/>
        <w:gridCol w:w="1278"/>
        <w:gridCol w:w="1277"/>
        <w:gridCol w:w="1074"/>
        <w:gridCol w:w="919"/>
        <w:gridCol w:w="1731"/>
        <w:gridCol w:w="1235"/>
        <w:gridCol w:w="1700"/>
        <w:gridCol w:w="1134"/>
        <w:gridCol w:w="1043"/>
        <w:gridCol w:w="1731"/>
      </w:tblGrid>
      <w:tr w:rsidR="00362768" w:rsidTr="00362768">
        <w:trPr>
          <w:trHeight w:val="819"/>
          <w:jc w:val="center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6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</w:tc>
      </w:tr>
      <w:tr w:rsidR="00362768" w:rsidTr="00362768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62768" w:rsidTr="00362768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eastAsia="Arial"/>
                <w:b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дугоразрядных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натриевых ламп уличного освещения на светодиодные лампы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20,19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внутреннего освещения на светодиодные светильники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2,39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оконные блоки из ПВХ профиля в помещениях Администрации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утепление кровли в здании Администрации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потерь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-используемой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4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22,58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6065" w:type="dxa"/>
        <w:jc w:val="center"/>
        <w:tblInd w:w="695" w:type="dxa"/>
        <w:tblLayout w:type="fixed"/>
        <w:tblLook w:val="04A0"/>
      </w:tblPr>
      <w:tblGrid>
        <w:gridCol w:w="534"/>
        <w:gridCol w:w="2409"/>
        <w:gridCol w:w="1278"/>
        <w:gridCol w:w="1277"/>
        <w:gridCol w:w="1074"/>
        <w:gridCol w:w="919"/>
        <w:gridCol w:w="1731"/>
        <w:gridCol w:w="1235"/>
        <w:gridCol w:w="1700"/>
        <w:gridCol w:w="1134"/>
        <w:gridCol w:w="1043"/>
        <w:gridCol w:w="1731"/>
      </w:tblGrid>
      <w:tr w:rsidR="00362768" w:rsidTr="00362768">
        <w:trPr>
          <w:trHeight w:val="819"/>
          <w:jc w:val="center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62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68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</w:tc>
      </w:tr>
      <w:tr w:rsidR="00362768" w:rsidTr="00362768">
        <w:trPr>
          <w:trHeight w:val="552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62768" w:rsidTr="00362768">
        <w:trPr>
          <w:trHeight w:val="580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eastAsia="Arial"/>
                <w:b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     тыс. руб.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7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дугоразрядных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натриевых ламп уличного освещения на светодиодные лампы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23,55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16,63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внутреннего освещения на светодиодные светильники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1,21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оконные блоки из ПВХ профиля в помещениях Администрации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утепление кровли в здании Администрации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19,91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тепловой энергии, воды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Сокращению объемов электрической энергии, -используемой при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переданне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(транспортировке) воды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2768" w:rsidTr="00362768">
        <w:trPr>
          <w:trHeight w:val="255"/>
          <w:jc w:val="center"/>
        </w:trPr>
        <w:tc>
          <w:tcPr>
            <w:tcW w:w="4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68,5</w:t>
            </w:r>
          </w:p>
        </w:tc>
        <w:tc>
          <w:tcPr>
            <w:tcW w:w="1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25,50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68" w:rsidRDefault="00362768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36,54</w:t>
            </w:r>
          </w:p>
        </w:tc>
      </w:tr>
    </w:tbl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  <w:sectPr w:rsidR="00362768">
          <w:pgSz w:w="16838" w:h="11906" w:orient="landscape"/>
          <w:pgMar w:top="1134" w:right="1134" w:bottom="1701" w:left="1134" w:header="709" w:footer="709" w:gutter="0"/>
          <w:cols w:space="720"/>
        </w:sectPr>
      </w:pPr>
    </w:p>
    <w:p w:rsidR="00362768" w:rsidRDefault="00362768" w:rsidP="00362768">
      <w:pPr>
        <w:pStyle w:val="1"/>
        <w:tabs>
          <w:tab w:val="clear" w:pos="0"/>
        </w:tabs>
        <w:ind w:left="0" w:firstLine="0"/>
      </w:pPr>
      <w:r>
        <w:lastRenderedPageBreak/>
        <w:t xml:space="preserve">РАЗДЕЛ 5.      </w:t>
      </w:r>
    </w:p>
    <w:p w:rsidR="00362768" w:rsidRDefault="00362768" w:rsidP="00362768">
      <w:pPr>
        <w:pStyle w:val="1"/>
        <w:tabs>
          <w:tab w:val="clear" w:pos="0"/>
        </w:tabs>
        <w:ind w:left="0" w:firstLine="0"/>
        <w:jc w:val="center"/>
      </w:pPr>
      <w:r>
        <w:t>СИСТЕМА МОНИТОРИНГА, УПРАВЛЕНИЯ И КОНТРОЛЯ ЗА ХОДОМ ВЫПОЛНЕНИЯ ПРОГРАММЫ.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362768" w:rsidRDefault="00362768" w:rsidP="00362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по состоянию на 1 января года, следующего за отчетным в соответствии с приказом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 формируются отчеты о реализации Программы.</w:t>
      </w:r>
    </w:p>
    <w:p w:rsidR="00362768" w:rsidRDefault="00362768" w:rsidP="00362768">
      <w:pPr>
        <w:rPr>
          <w:rFonts w:ascii="Times New Roman" w:hAnsi="Times New Roman" w:cs="Times New Roman"/>
          <w:b/>
          <w:sz w:val="28"/>
          <w:szCs w:val="28"/>
        </w:rPr>
      </w:pPr>
    </w:p>
    <w:p w:rsidR="00362768" w:rsidRPr="003E7F51" w:rsidRDefault="00362768">
      <w:pPr>
        <w:rPr>
          <w:rFonts w:ascii="Times New Roman" w:hAnsi="Times New Roman" w:cs="Times New Roman"/>
          <w:sz w:val="28"/>
          <w:szCs w:val="28"/>
        </w:rPr>
      </w:pPr>
    </w:p>
    <w:sectPr w:rsidR="00362768" w:rsidRPr="003E7F51" w:rsidSect="00F8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3C74"/>
    <w:rsid w:val="000A2177"/>
    <w:rsid w:val="000D469D"/>
    <w:rsid w:val="001C69BF"/>
    <w:rsid w:val="00281D49"/>
    <w:rsid w:val="002B55B2"/>
    <w:rsid w:val="00362768"/>
    <w:rsid w:val="003936AA"/>
    <w:rsid w:val="003C4B6B"/>
    <w:rsid w:val="003E7F51"/>
    <w:rsid w:val="004C3550"/>
    <w:rsid w:val="004E3C74"/>
    <w:rsid w:val="005F1227"/>
    <w:rsid w:val="00692074"/>
    <w:rsid w:val="00827350"/>
    <w:rsid w:val="00932296"/>
    <w:rsid w:val="00A75DDE"/>
    <w:rsid w:val="00B45198"/>
    <w:rsid w:val="00C95F96"/>
    <w:rsid w:val="00DC3B72"/>
    <w:rsid w:val="00E84B38"/>
    <w:rsid w:val="00F81856"/>
    <w:rsid w:val="00F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74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1">
    <w:name w:val="heading 1"/>
    <w:next w:val="a"/>
    <w:link w:val="10"/>
    <w:qFormat/>
    <w:rsid w:val="00362768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768"/>
    <w:pPr>
      <w:keepNext/>
      <w:keepLines/>
      <w:suppressAutoHyphens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F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F51"/>
    <w:rPr>
      <w:rFonts w:ascii="Tahoma" w:eastAsia="SimSu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362768"/>
    <w:rPr>
      <w:rFonts w:ascii="Times New Roman" w:eastAsia="SimSun" w:hAnsi="Times New Roman" w:cs="Times New Roman"/>
      <w:b/>
      <w:bCs/>
      <w:caps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6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62768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62768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6276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2768"/>
    <w:pPr>
      <w:tabs>
        <w:tab w:val="center" w:pos="4677"/>
        <w:tab w:val="right" w:pos="9355"/>
      </w:tabs>
      <w:suppressAutoHyphens w:val="0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62768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362768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b">
    <w:name w:val="Название документа"/>
    <w:uiPriority w:val="99"/>
    <w:rsid w:val="00362768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Default">
    <w:name w:val="Default"/>
    <w:uiPriority w:val="99"/>
    <w:rsid w:val="0036276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62768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c">
    <w:name w:val="Таблица"/>
    <w:basedOn w:val="a"/>
    <w:uiPriority w:val="99"/>
    <w:rsid w:val="00362768"/>
    <w:pPr>
      <w:ind w:right="-1" w:firstLine="0"/>
      <w:jc w:val="right"/>
    </w:pPr>
    <w:rPr>
      <w:rFonts w:ascii="Tahoma" w:hAnsi="Tahoma" w:cs="Times New Roman"/>
    </w:rPr>
  </w:style>
  <w:style w:type="paragraph" w:customStyle="1" w:styleId="ConsPlusDocList">
    <w:name w:val="ConsPlusDocList"/>
    <w:next w:val="a"/>
    <w:uiPriority w:val="99"/>
    <w:rsid w:val="0036276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WW8Num1z1">
    <w:name w:val="WW8Num1z1"/>
    <w:rsid w:val="00362768"/>
  </w:style>
  <w:style w:type="character" w:customStyle="1" w:styleId="apple-converted-space">
    <w:name w:val="apple-converted-space"/>
    <w:basedOn w:val="a0"/>
    <w:rsid w:val="00362768"/>
  </w:style>
  <w:style w:type="table" w:styleId="ad">
    <w:name w:val="Table Grid"/>
    <w:basedOn w:val="a1"/>
    <w:uiPriority w:val="59"/>
    <w:rsid w:val="003627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2706487352797741"/>
          <c:y val="0.11431330151088619"/>
          <c:w val="0.59083677758670961"/>
          <c:h val="0.7990072484462758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85000"/>
                <a:lumOff val="15000"/>
              </a:schemeClr>
            </a:solidFill>
          </c:spPr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Электроэнергия</a:t>
                    </a:r>
                  </a:p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(76,72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23%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(158,04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48%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Моторное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топливо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(94,2 тыс. руб.)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
29%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76.72</c:v>
                </c:pt>
                <c:pt idx="1">
                  <c:v>158.04</c:v>
                </c:pt>
                <c:pt idx="2">
                  <c:v>94.2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4980</Words>
  <Characters>28391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16</cp:revision>
  <dcterms:created xsi:type="dcterms:W3CDTF">2016-05-16T10:16:00Z</dcterms:created>
  <dcterms:modified xsi:type="dcterms:W3CDTF">2016-08-22T13:25:00Z</dcterms:modified>
</cp:coreProperties>
</file>